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E4930" w14:textId="77777777" w:rsidR="00134AF5" w:rsidRDefault="00134AF5" w:rsidP="00134AF5">
      <w:pPr>
        <w:pStyle w:val="NormalWeb"/>
        <w:spacing w:before="0" w:beforeAutospacing="0" w:after="0" w:afterAutospacing="0" w:line="276" w:lineRule="auto"/>
        <w:jc w:val="both"/>
      </w:pPr>
    </w:p>
    <w:p w14:paraId="195A6131" w14:textId="264EDCED" w:rsidR="0018537A" w:rsidRPr="00134AF5" w:rsidRDefault="0018537A" w:rsidP="00134AF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134AF5">
        <w:rPr>
          <w:rFonts w:ascii="Arial" w:hAnsi="Arial" w:cs="Arial"/>
          <w:sz w:val="20"/>
          <w:szCs w:val="20"/>
        </w:rPr>
        <w:t xml:space="preserve">¿Quién no ha jugado alguna vez a resolver un caso al estilo CSI? En </w:t>
      </w:r>
      <w:hyperlink r:id="rId6" w:history="1">
        <w:r w:rsidRPr="00134AF5">
          <w:rPr>
            <w:rStyle w:val="Hipervnculo"/>
            <w:rFonts w:ascii="Arial" w:hAnsi="Arial" w:cs="Arial"/>
            <w:sz w:val="20"/>
            <w:szCs w:val="20"/>
          </w:rPr>
          <w:t>Investigación forense: estudio virtual de las pistas</w:t>
        </w:r>
      </w:hyperlink>
      <w:r w:rsidRPr="00134AF5">
        <w:rPr>
          <w:rFonts w:ascii="Arial" w:hAnsi="Arial" w:cs="Arial"/>
          <w:sz w:val="20"/>
          <w:szCs w:val="20"/>
        </w:rPr>
        <w:t>, el grupo de Genética Forense de la Facultad de Medicina tiene preparado un caso al más puro estilo detectivesco (pero real) en el que la medicina legal, la genética, la odontología y la antropología tienen mucho que decir.</w:t>
      </w:r>
    </w:p>
    <w:p w14:paraId="3E1DAE3D" w14:textId="4F44D493" w:rsidR="00134AF5" w:rsidRDefault="0018537A" w:rsidP="00134AF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134AF5">
        <w:rPr>
          <w:rFonts w:ascii="Arial" w:hAnsi="Arial" w:cs="Arial"/>
          <w:sz w:val="20"/>
          <w:szCs w:val="20"/>
        </w:rPr>
        <w:t xml:space="preserve">¿Serán los restos encontrados arqueológicos o forenses, fruto de un crimen? “Jamás resolveríamos un caso como este en 45 minutos como en las series de televisión”, les recuerda el coordinador de la actividad, César López Matayoshi a los alumnos del IES Jaime Ferran </w:t>
      </w:r>
      <w:proofErr w:type="spellStart"/>
      <w:r w:rsidRPr="00134AF5">
        <w:rPr>
          <w:rFonts w:ascii="Arial" w:hAnsi="Arial" w:cs="Arial"/>
          <w:sz w:val="20"/>
          <w:szCs w:val="20"/>
        </w:rPr>
        <w:t>Clua</w:t>
      </w:r>
      <w:proofErr w:type="spellEnd"/>
      <w:r w:rsidRPr="00134AF5">
        <w:rPr>
          <w:rFonts w:ascii="Arial" w:hAnsi="Arial" w:cs="Arial"/>
          <w:sz w:val="20"/>
          <w:szCs w:val="20"/>
        </w:rPr>
        <w:t xml:space="preserve"> (San Fernando de Henares) y a otros asistentes de un lado</w:t>
      </w:r>
      <w:r w:rsidR="00E675E3">
        <w:rPr>
          <w:rFonts w:ascii="Arial" w:hAnsi="Arial" w:cs="Arial"/>
          <w:sz w:val="20"/>
          <w:szCs w:val="20"/>
        </w:rPr>
        <w:t xml:space="preserve">, </w:t>
      </w:r>
      <w:r w:rsidRPr="00134AF5">
        <w:rPr>
          <w:rFonts w:ascii="Arial" w:hAnsi="Arial" w:cs="Arial"/>
          <w:sz w:val="20"/>
          <w:szCs w:val="20"/>
        </w:rPr>
        <w:t xml:space="preserve">y otro del charco que durante tres días se entregan en cuerpo y alma a este taller online. </w:t>
      </w:r>
    </w:p>
    <w:p w14:paraId="0CEF8E45" w14:textId="77777777" w:rsidR="00976FDB" w:rsidRPr="00134AF5" w:rsidRDefault="00976FDB" w:rsidP="00134AF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2861FA95" w14:textId="77777777" w:rsidR="00134AF5" w:rsidRPr="00134AF5" w:rsidRDefault="00134AF5" w:rsidP="00134AF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48C8C4F7" w14:textId="3AD816F2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34AF5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8273109" wp14:editId="7C41172F">
            <wp:simplePos x="0" y="0"/>
            <wp:positionH relativeFrom="column">
              <wp:posOffset>196215</wp:posOffset>
            </wp:positionH>
            <wp:positionV relativeFrom="paragraph">
              <wp:posOffset>4445</wp:posOffset>
            </wp:positionV>
            <wp:extent cx="4876800" cy="3390900"/>
            <wp:effectExtent l="0" t="0" r="0" b="0"/>
            <wp:wrapTight wrapText="bothSides">
              <wp:wrapPolygon edited="0">
                <wp:start x="1772" y="0"/>
                <wp:lineTo x="1181" y="243"/>
                <wp:lineTo x="84" y="1578"/>
                <wp:lineTo x="0" y="2548"/>
                <wp:lineTo x="0" y="19780"/>
                <wp:lineTo x="1181" y="21357"/>
                <wp:lineTo x="1688" y="21479"/>
                <wp:lineTo x="19828" y="21479"/>
                <wp:lineTo x="20334" y="21357"/>
                <wp:lineTo x="21516" y="19780"/>
                <wp:lineTo x="21516" y="2548"/>
                <wp:lineTo x="21431" y="1578"/>
                <wp:lineTo x="20250" y="121"/>
                <wp:lineTo x="19744" y="0"/>
                <wp:lineTo x="1772" y="0"/>
              </wp:wrapPolygon>
            </wp:wrapTight>
            <wp:docPr id="1" name="Imagen 1" descr="Pantalla de un celular con la imagen de un videojueg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Pantalla de un celular con la imagen de un videojuego&#10;&#10;Descripción generada automáticamente con confianza media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8" t="4939" r="6692" b="11336"/>
                    <a:stretch/>
                  </pic:blipFill>
                  <pic:spPr bwMode="auto">
                    <a:xfrm>
                      <a:off x="0" y="0"/>
                      <a:ext cx="4876800" cy="3390900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3E8164" w14:textId="2B547806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527A90D1" w14:textId="7083C3B5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36230B63" w14:textId="25FA2B34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33EE462" w14:textId="696FF645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400A16A8" w14:textId="3B124479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3F7F0288" w14:textId="3D1DA561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01094FFA" w14:textId="77777777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30B03737" w14:textId="0EF50C3F" w:rsidR="0045110F" w:rsidRPr="00134AF5" w:rsidRDefault="00C65816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69E3878E" w14:textId="0A26490D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9CD2E1E" w14:textId="4F6F3028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79740B9" w14:textId="009B0361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55DD519D" w14:textId="2690E8C7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03ED916" w14:textId="261ADCB6" w:rsidR="00134AF5" w:rsidRPr="00134AF5" w:rsidRDefault="00134AF5" w:rsidP="00134AF5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38E4F03" w14:textId="51D6F900" w:rsidR="00134AF5" w:rsidRP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3F1B4ACB" w14:textId="151126C4" w:rsidR="00134AF5" w:rsidRP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4E08D896" w14:textId="4469D2DA" w:rsidR="00134AF5" w:rsidRP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2ACABF4D" w14:textId="659543F3" w:rsid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2A5CB8A4" w14:textId="42242C9E" w:rsid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00D0765B" w14:textId="58592313" w:rsid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EA37B93" w14:textId="10C89C62" w:rsid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7B241751" w14:textId="77777777" w:rsidR="00134AF5" w:rsidRPr="00134AF5" w:rsidRDefault="00134AF5" w:rsidP="00134AF5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F92030A" w14:textId="41D500D9" w:rsidR="00134AF5" w:rsidRPr="00134AF5" w:rsidRDefault="00134AF5" w:rsidP="00134AF5">
      <w:pPr>
        <w:pStyle w:val="Prrafodelista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134AF5">
        <w:rPr>
          <w:rFonts w:ascii="Arial" w:hAnsi="Arial" w:cs="Arial"/>
          <w:b/>
          <w:bCs/>
          <w:sz w:val="20"/>
          <w:szCs w:val="20"/>
        </w:rPr>
        <w:t>Organizadores</w:t>
      </w:r>
      <w:r w:rsidRPr="00134AF5">
        <w:rPr>
          <w:rFonts w:ascii="Arial" w:hAnsi="Arial" w:cs="Arial"/>
          <w:sz w:val="20"/>
          <w:szCs w:val="20"/>
        </w:rPr>
        <w:t>: Grupo de Investigación en Genética Forense y Genética de Poblaciones.</w:t>
      </w:r>
    </w:p>
    <w:p w14:paraId="5E7E98EB" w14:textId="77777777" w:rsidR="00134AF5" w:rsidRPr="00134AF5" w:rsidRDefault="00134AF5" w:rsidP="00134AF5">
      <w:pPr>
        <w:pStyle w:val="Prrafodelista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134AF5">
        <w:rPr>
          <w:rFonts w:ascii="Arial" w:hAnsi="Arial" w:cs="Arial"/>
          <w:b/>
          <w:bCs/>
          <w:sz w:val="20"/>
          <w:szCs w:val="20"/>
        </w:rPr>
        <w:t>Directores</w:t>
      </w:r>
      <w:r w:rsidRPr="00134AF5">
        <w:rPr>
          <w:rFonts w:ascii="Arial" w:hAnsi="Arial" w:cs="Arial"/>
          <w:sz w:val="20"/>
          <w:szCs w:val="20"/>
        </w:rPr>
        <w:t>: Eduardo Arroyo Pardo y César López Matayoshi</w:t>
      </w:r>
    </w:p>
    <w:p w14:paraId="1DA448DE" w14:textId="24B9295B" w:rsidR="00134AF5" w:rsidRPr="00E675E3" w:rsidRDefault="00134AF5" w:rsidP="00E475D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E675E3">
        <w:rPr>
          <w:rFonts w:ascii="Arial" w:hAnsi="Arial" w:cs="Arial"/>
          <w:b/>
          <w:bCs/>
          <w:sz w:val="20"/>
          <w:szCs w:val="20"/>
        </w:rPr>
        <w:t>Colaboradoras</w:t>
      </w:r>
      <w:r w:rsidRPr="00E675E3">
        <w:rPr>
          <w:rFonts w:ascii="Arial" w:hAnsi="Arial" w:cs="Arial"/>
          <w:sz w:val="20"/>
          <w:szCs w:val="20"/>
        </w:rPr>
        <w:t>: Concepción Magaña</w:t>
      </w:r>
      <w:r w:rsidR="00E675E3" w:rsidRPr="00E675E3">
        <w:rPr>
          <w:rFonts w:ascii="Arial" w:hAnsi="Arial" w:cs="Arial"/>
          <w:sz w:val="20"/>
          <w:szCs w:val="20"/>
        </w:rPr>
        <w:t xml:space="preserve"> Loarte</w:t>
      </w:r>
      <w:r w:rsidRPr="00E675E3">
        <w:rPr>
          <w:rFonts w:ascii="Arial" w:hAnsi="Arial" w:cs="Arial"/>
          <w:sz w:val="20"/>
          <w:szCs w:val="20"/>
        </w:rPr>
        <w:t>, Elena Ruiz</w:t>
      </w:r>
      <w:r w:rsidR="00E675E3" w:rsidRPr="00E675E3">
        <w:rPr>
          <w:rFonts w:ascii="Arial" w:hAnsi="Arial" w:cs="Arial"/>
          <w:sz w:val="20"/>
          <w:szCs w:val="20"/>
        </w:rPr>
        <w:t xml:space="preserve"> Mediavilla</w:t>
      </w:r>
      <w:r w:rsidRPr="00E675E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675E3">
        <w:rPr>
          <w:rFonts w:ascii="Arial" w:hAnsi="Arial" w:cs="Arial"/>
          <w:sz w:val="20"/>
          <w:szCs w:val="20"/>
        </w:rPr>
        <w:t>Cláudia</w:t>
      </w:r>
      <w:proofErr w:type="spellEnd"/>
      <w:r w:rsidRPr="00E675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75E3" w:rsidRPr="00E675E3">
        <w:rPr>
          <w:rFonts w:ascii="Arial" w:hAnsi="Arial" w:cs="Arial"/>
          <w:sz w:val="20"/>
          <w:szCs w:val="20"/>
        </w:rPr>
        <w:t>Lopes</w:t>
      </w:r>
      <w:proofErr w:type="spellEnd"/>
      <w:r w:rsidR="00E675E3" w:rsidRPr="00E675E3">
        <w:rPr>
          <w:rFonts w:ascii="Arial" w:hAnsi="Arial" w:cs="Arial"/>
          <w:sz w:val="20"/>
          <w:szCs w:val="20"/>
        </w:rPr>
        <w:t xml:space="preserve"> </w:t>
      </w:r>
      <w:r w:rsidRPr="00E675E3">
        <w:rPr>
          <w:rFonts w:ascii="Arial" w:hAnsi="Arial" w:cs="Arial"/>
          <w:sz w:val="20"/>
          <w:szCs w:val="20"/>
        </w:rPr>
        <w:t xml:space="preserve">Gomes y </w:t>
      </w:r>
      <w:r w:rsidR="00E675E3" w:rsidRPr="00E675E3">
        <w:rPr>
          <w:rFonts w:ascii="Arial" w:hAnsi="Arial" w:cs="Arial"/>
          <w:sz w:val="20"/>
          <w:szCs w:val="20"/>
        </w:rPr>
        <w:t xml:space="preserve">Elena </w:t>
      </w:r>
      <w:proofErr w:type="spellStart"/>
      <w:r w:rsidR="00E675E3" w:rsidRPr="00E675E3">
        <w:rPr>
          <w:rFonts w:ascii="Arial" w:hAnsi="Arial" w:cs="Arial"/>
          <w:sz w:val="20"/>
          <w:szCs w:val="20"/>
        </w:rPr>
        <w:t>Labajo</w:t>
      </w:r>
      <w:proofErr w:type="spellEnd"/>
      <w:r w:rsidR="00E675E3" w:rsidRPr="00E675E3">
        <w:rPr>
          <w:rFonts w:ascii="Arial" w:hAnsi="Arial" w:cs="Arial"/>
          <w:sz w:val="20"/>
          <w:szCs w:val="20"/>
        </w:rPr>
        <w:t xml:space="preserve"> González</w:t>
      </w:r>
      <w:r w:rsidRPr="00E675E3">
        <w:rPr>
          <w:rFonts w:ascii="Arial" w:hAnsi="Arial" w:cs="Arial"/>
          <w:sz w:val="20"/>
          <w:szCs w:val="20"/>
        </w:rPr>
        <w:t xml:space="preserve">. </w:t>
      </w:r>
    </w:p>
    <w:p w14:paraId="48595A3B" w14:textId="2E8A981D" w:rsidR="00134AF5" w:rsidRDefault="00134AF5" w:rsidP="00134AF5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5F776DE" w14:textId="01F4A888" w:rsidR="00134AF5" w:rsidRPr="00C65816" w:rsidRDefault="00134AF5" w:rsidP="00134AF5">
      <w:p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C65816">
        <w:rPr>
          <w:rFonts w:ascii="Arial" w:hAnsi="Arial" w:cs="Arial"/>
          <w:b/>
          <w:bCs/>
          <w:sz w:val="20"/>
          <w:szCs w:val="20"/>
        </w:rPr>
        <w:t>Referencias:</w:t>
      </w:r>
    </w:p>
    <w:p w14:paraId="21F21085" w14:textId="4C9C9159" w:rsidR="00134AF5" w:rsidRPr="00976FDB" w:rsidRDefault="00976FDB" w:rsidP="00976FDB">
      <w:pPr>
        <w:pStyle w:val="Prrafodelista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Fonts w:ascii="Arial" w:hAnsi="Arial" w:cs="Arial"/>
          <w:sz w:val="20"/>
          <w:szCs w:val="20"/>
        </w:rPr>
      </w:pPr>
      <w:r w:rsidRPr="00976FDB">
        <w:rPr>
          <w:rFonts w:ascii="Arial" w:hAnsi="Arial" w:cs="Arial"/>
          <w:sz w:val="20"/>
          <w:szCs w:val="20"/>
        </w:rPr>
        <w:t xml:space="preserve">Unidad de Cultura Científica y de la Innovación – OTRI: </w:t>
      </w:r>
      <w:hyperlink r:id="rId8" w:history="1">
        <w:r w:rsidR="00134AF5" w:rsidRPr="00976FDB">
          <w:rPr>
            <w:rStyle w:val="Hipervnculo"/>
            <w:rFonts w:ascii="Arial" w:hAnsi="Arial" w:cs="Arial"/>
            <w:sz w:val="20"/>
            <w:szCs w:val="20"/>
          </w:rPr>
          <w:t>https://www.ucm.es/otri/noticias-semana-de-la-ciencia-ucm-2021</w:t>
        </w:r>
      </w:hyperlink>
    </w:p>
    <w:p w14:paraId="65EDB8FE" w14:textId="2D80D109" w:rsidR="00134AF5" w:rsidRDefault="00134AF5" w:rsidP="00976FDB">
      <w:p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1E0079B" w14:textId="06F70C89" w:rsidR="00976FDB" w:rsidRPr="00976FDB" w:rsidRDefault="00976FDB" w:rsidP="00976FDB">
      <w:pPr>
        <w:pStyle w:val="Prrafodelista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Fonts w:ascii="Arial" w:hAnsi="Arial" w:cs="Arial"/>
          <w:sz w:val="20"/>
          <w:szCs w:val="20"/>
        </w:rPr>
      </w:pPr>
      <w:r>
        <w:t xml:space="preserve">Fundación para el Conocimiento </w:t>
      </w:r>
      <w:proofErr w:type="spellStart"/>
      <w:r>
        <w:t>madri+d</w:t>
      </w:r>
      <w:proofErr w:type="spellEnd"/>
      <w:r w:rsidRPr="00976FDB">
        <w:rPr>
          <w:rFonts w:ascii="Arial" w:hAnsi="Arial" w:cs="Arial"/>
          <w:sz w:val="20"/>
          <w:szCs w:val="20"/>
        </w:rPr>
        <w:t xml:space="preserve"> – CAM: </w:t>
      </w:r>
      <w:hyperlink r:id="rId9" w:history="1">
        <w:r w:rsidRPr="00976FDB">
          <w:rPr>
            <w:rStyle w:val="Hipervnculo"/>
            <w:rFonts w:ascii="Arial" w:hAnsi="Arial" w:cs="Arial"/>
            <w:sz w:val="20"/>
            <w:szCs w:val="20"/>
          </w:rPr>
          <w:t>https://www.semanacienciamadrid.org/actividad/investigacion-forense-estudio-virtual-de-las-pistas</w:t>
        </w:r>
      </w:hyperlink>
    </w:p>
    <w:p w14:paraId="65D6C885" w14:textId="77777777" w:rsidR="00976FDB" w:rsidRPr="00134AF5" w:rsidRDefault="00976FDB" w:rsidP="00976FDB">
      <w:p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sectPr w:rsidR="00976FDB" w:rsidRPr="00134A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B54D8"/>
    <w:multiLevelType w:val="hybridMultilevel"/>
    <w:tmpl w:val="34284C1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276E2"/>
    <w:multiLevelType w:val="hybridMultilevel"/>
    <w:tmpl w:val="10C6CD04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7A"/>
    <w:rsid w:val="00101AC7"/>
    <w:rsid w:val="00134AF5"/>
    <w:rsid w:val="0018537A"/>
    <w:rsid w:val="00511852"/>
    <w:rsid w:val="005A13EA"/>
    <w:rsid w:val="007D026B"/>
    <w:rsid w:val="00976FDB"/>
    <w:rsid w:val="00C65816"/>
    <w:rsid w:val="00CF5EB8"/>
    <w:rsid w:val="00E53AFC"/>
    <w:rsid w:val="00E6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344A"/>
  <w15:chartTrackingRefBased/>
  <w15:docId w15:val="{F9629717-B4C5-46AF-BBE7-CAB0D2BA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8537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8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34AF5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134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otri/noticias-semana-de-la-ciencia-ucm-2021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emanacienciamadrid.org/actividad/investigacion-forense-estudio-virtual-de-las-pista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emanacienciamadrid.org/actividad/investigacion-forense-estudio-virtual-de-las-pist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B4A98-DEE1-4468-A779-DFA28C02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Revisor</dc:creator>
  <cp:keywords/>
  <dc:description/>
  <cp:lastModifiedBy>Revisor</cp:lastModifiedBy>
  <cp:revision>5</cp:revision>
  <dcterms:created xsi:type="dcterms:W3CDTF">2021-11-17T17:13:00Z</dcterms:created>
  <dcterms:modified xsi:type="dcterms:W3CDTF">2021-11-18T11:58:00Z</dcterms:modified>
</cp:coreProperties>
</file>